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8838E87"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9229AB">
        <w:rPr>
          <w:rFonts w:cs="Arial"/>
          <w:b/>
          <w:sz w:val="24"/>
          <w:szCs w:val="24"/>
        </w:rPr>
        <w:t>5692</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EB6A244" w14:textId="6CE450A7" w:rsidR="00311BFF" w:rsidRDefault="00675C27" w:rsidP="00311BFF">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F6951" w:rsidRPr="003F6951">
        <w:rPr>
          <w:rFonts w:cs="Arial"/>
          <w:sz w:val="22"/>
        </w:rPr>
        <w:t>Missing general and specific requirements for PC1.5 intra-band ULCA ul configuration request for inter-band HPUE</w:t>
      </w:r>
    </w:p>
    <w:p w14:paraId="0AF84F2F" w14:textId="42BC4364" w:rsidR="00C71A0E" w:rsidRPr="003F6951" w:rsidRDefault="00675C27" w:rsidP="00C71A0E">
      <w:pPr>
        <w:pStyle w:val="TAC"/>
        <w:ind w:left="1985" w:hanging="1985"/>
        <w:jc w:val="left"/>
        <w:rPr>
          <w:rFonts w:cs="Arial"/>
          <w:sz w:val="22"/>
          <w:lang w:val="fr-FR"/>
        </w:rPr>
      </w:pPr>
      <w:r w:rsidRPr="003F6951">
        <w:rPr>
          <w:rFonts w:cs="Arial"/>
          <w:b/>
          <w:sz w:val="22"/>
          <w:lang w:val="fr-FR"/>
        </w:rPr>
        <w:t>Agen</w:t>
      </w:r>
      <w:r w:rsidRPr="003F6951">
        <w:rPr>
          <w:rFonts w:eastAsia="SimSun" w:cs="Arial" w:hint="eastAsia"/>
          <w:b/>
          <w:sz w:val="22"/>
          <w:lang w:val="fr-FR" w:eastAsia="zh-CN"/>
        </w:rPr>
        <w:t>d</w:t>
      </w:r>
      <w:r w:rsidRPr="003F6951">
        <w:rPr>
          <w:rFonts w:cs="Arial"/>
          <w:b/>
          <w:sz w:val="22"/>
          <w:lang w:val="fr-FR"/>
        </w:rPr>
        <w:t xml:space="preserve">a </w:t>
      </w:r>
      <w:proofErr w:type="gramStart"/>
      <w:r w:rsidRPr="003F6951">
        <w:rPr>
          <w:rFonts w:cs="Arial"/>
          <w:b/>
          <w:sz w:val="22"/>
          <w:lang w:val="fr-FR"/>
        </w:rPr>
        <w:t>Item:</w:t>
      </w:r>
      <w:proofErr w:type="gramEnd"/>
      <w:r w:rsidRPr="003F6951">
        <w:rPr>
          <w:rFonts w:cs="Arial"/>
          <w:sz w:val="22"/>
          <w:lang w:val="fr-FR"/>
        </w:rPr>
        <w:tab/>
      </w:r>
      <w:r w:rsidR="003F6951" w:rsidRPr="003F6951">
        <w:rPr>
          <w:rFonts w:cs="Arial"/>
          <w:sz w:val="22"/>
          <w:lang w:val="fr-FR"/>
        </w:rPr>
        <w:t>4.18.1</w:t>
      </w:r>
      <w:r w:rsidR="003F6951" w:rsidRPr="003F6951">
        <w:rPr>
          <w:rFonts w:cs="Arial"/>
          <w:sz w:val="22"/>
          <w:lang w:val="fr-FR"/>
        </w:rPr>
        <w:tab/>
        <w:t>Rapporteur input</w:t>
      </w:r>
      <w:r w:rsidR="003F6951" w:rsidRPr="003F6951">
        <w:rPr>
          <w:rFonts w:cs="Arial"/>
          <w:sz w:val="22"/>
          <w:lang w:val="fr-FR"/>
        </w:rPr>
        <w:tab/>
        <w:t>[HPUE_NR_FR1_TDD_intra_CA_R18]</w:t>
      </w:r>
    </w:p>
    <w:p w14:paraId="2E5C6AEA" w14:textId="2E37DBB4"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17B9F85" w:rsidR="00842311" w:rsidRPr="00B734F1" w:rsidRDefault="00C61B7F" w:rsidP="00CA5102">
      <w:pPr>
        <w:spacing w:after="0"/>
        <w:jc w:val="both"/>
        <w:rPr>
          <w:rFonts w:eastAsia="SimSun"/>
          <w:lang w:eastAsia="zh-CN"/>
        </w:rPr>
      </w:pPr>
      <w:bookmarkStart w:id="2" w:name="_Hlk115189237"/>
      <w:r>
        <w:rPr>
          <w:rFonts w:eastAsia="SimSun"/>
          <w:lang w:eastAsia="zh-CN"/>
        </w:rPr>
        <w:t>In RAN#</w:t>
      </w:r>
      <w:r w:rsidR="003F6951">
        <w:rPr>
          <w:rFonts w:eastAsia="SimSun"/>
          <w:lang w:eastAsia="zh-CN"/>
        </w:rPr>
        <w:t>99</w:t>
      </w:r>
      <w:r>
        <w:rPr>
          <w:rFonts w:eastAsia="SimSun"/>
          <w:lang w:eastAsia="zh-CN"/>
        </w:rPr>
        <w:t xml:space="preserve">, </w:t>
      </w:r>
      <w:bookmarkEnd w:id="2"/>
      <w:r w:rsidR="003F6951">
        <w:rPr>
          <w:rFonts w:eastAsia="SimSun"/>
          <w:lang w:eastAsia="zh-CN"/>
        </w:rPr>
        <w:t>new inter-band HPUE band combinations were requested with PC1.5 contiguous intra-band ULCA as UL configuration</w:t>
      </w:r>
      <w:r w:rsidR="00FC1EE7">
        <w:rPr>
          <w:rFonts w:eastAsia="SimSun"/>
          <w:lang w:eastAsia="zh-CN"/>
        </w:rPr>
        <w:t>.</w:t>
      </w:r>
      <w:r w:rsidR="003F6951">
        <w:rPr>
          <w:rFonts w:eastAsia="SimSun"/>
          <w:lang w:eastAsia="zh-CN"/>
        </w:rPr>
        <w:t xml:space="preserve"> In this contribution we </w:t>
      </w:r>
      <w:r w:rsidR="00F84280">
        <w:rPr>
          <w:rFonts w:eastAsia="SimSun"/>
          <w:lang w:eastAsia="zh-CN"/>
        </w:rPr>
        <w:t xml:space="preserve">detail the </w:t>
      </w:r>
      <w:r w:rsidR="003F6951">
        <w:rPr>
          <w:rFonts w:eastAsia="SimSun"/>
          <w:lang w:eastAsia="zh-CN"/>
        </w:rPr>
        <w:t>missing generic and specific requirements</w:t>
      </w:r>
      <w:r w:rsidR="00F84280">
        <w:rPr>
          <w:rFonts w:eastAsia="SimSun"/>
          <w:lang w:eastAsia="zh-CN"/>
        </w:rPr>
        <w:t xml:space="preserve"> needed</w:t>
      </w:r>
      <w:r w:rsidR="003F6951">
        <w:rPr>
          <w:rFonts w:eastAsia="SimSun"/>
          <w:lang w:eastAsia="zh-CN"/>
        </w:rPr>
        <w:t xml:space="preserve"> to enable this type of combination.</w:t>
      </w:r>
    </w:p>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6E8D214E" w14:textId="708D8C1A" w:rsidR="00FE06CD" w:rsidRPr="00F16E34" w:rsidRDefault="00C71A0E" w:rsidP="00FE06CD">
      <w:pPr>
        <w:pStyle w:val="Heading2"/>
        <w:spacing w:after="240"/>
        <w:rPr>
          <w:lang w:eastAsia="zh-CN"/>
        </w:rPr>
      </w:pPr>
      <w:r>
        <w:rPr>
          <w:lang w:eastAsia="zh-CN"/>
        </w:rPr>
        <w:t>Band</w:t>
      </w:r>
      <w:r w:rsidR="00F16E34" w:rsidRPr="00F16E34">
        <w:rPr>
          <w:lang w:eastAsia="zh-CN"/>
        </w:rPr>
        <w:t xml:space="preserve"> combination</w:t>
      </w:r>
      <w:r>
        <w:rPr>
          <w:lang w:eastAsia="zh-CN"/>
        </w:rPr>
        <w:t>s with PC1.5 contiguous ULCA</w:t>
      </w:r>
    </w:p>
    <w:p w14:paraId="232E9881" w14:textId="120B1070" w:rsidR="00924BE5" w:rsidRDefault="00F25796" w:rsidP="009E0F9E">
      <w:pPr>
        <w:rPr>
          <w:rFonts w:eastAsia="SimSun"/>
          <w:lang w:eastAsia="zh-CN"/>
        </w:rPr>
      </w:pPr>
      <w:r>
        <w:rPr>
          <w:lang w:val="en-US"/>
        </w:rPr>
        <w:t>In RAN#</w:t>
      </w:r>
      <w:r w:rsidR="003F6951">
        <w:rPr>
          <w:lang w:val="en-US"/>
        </w:rPr>
        <w:t>99</w:t>
      </w:r>
      <w:r>
        <w:rPr>
          <w:lang w:val="en-US"/>
        </w:rPr>
        <w:t xml:space="preserve"> </w:t>
      </w:r>
      <w:r w:rsidR="002C5FE6">
        <w:rPr>
          <w:lang w:val="en-US"/>
        </w:rPr>
        <w:t xml:space="preserve">the </w:t>
      </w:r>
      <w:r w:rsidR="003F6951">
        <w:rPr>
          <w:lang w:val="en-US"/>
        </w:rPr>
        <w:t xml:space="preserve">revised WI </w:t>
      </w:r>
      <w:r w:rsidR="003F6951" w:rsidRPr="003F6951">
        <w:rPr>
          <w:lang w:val="en-US"/>
        </w:rPr>
        <w:t>HPUE_NR_FR1_TDD_intra_CA_R18</w:t>
      </w:r>
      <w:r w:rsidR="003F6951">
        <w:rPr>
          <w:lang w:val="en-US"/>
        </w:rPr>
        <w:t xml:space="preserve"> [1] included the following band combination requests</w:t>
      </w:r>
      <w:r w:rsidR="00F16E34">
        <w:rPr>
          <w:rFonts w:eastAsia="SimSun"/>
          <w:lang w:eastAsia="zh-CN"/>
        </w:rPr>
        <w:t xml:space="preserve">. </w:t>
      </w:r>
    </w:p>
    <w:p w14:paraId="2EC97705" w14:textId="0390C995" w:rsidR="00FD628E" w:rsidRDefault="00FD628E" w:rsidP="00B83DB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HPUE band combinations with PC1.5 UL</w:t>
      </w:r>
      <w:r w:rsidR="003F6951">
        <w:t>CA</w:t>
      </w:r>
      <w:r>
        <w:t xml:space="preserve"> configuration</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21"/>
        <w:gridCol w:w="1172"/>
        <w:gridCol w:w="606"/>
        <w:gridCol w:w="1323"/>
      </w:tblGrid>
      <w:tr w:rsidR="00C71A0E" w:rsidRPr="00CA076B" w14:paraId="2F2FC70B" w14:textId="77777777" w:rsidTr="00C71A0E">
        <w:trPr>
          <w:cantSplit/>
          <w:trHeight w:val="107"/>
          <w:jc w:val="center"/>
        </w:trPr>
        <w:tc>
          <w:tcPr>
            <w:tcW w:w="1494" w:type="pct"/>
            <w:tcBorders>
              <w:top w:val="single" w:sz="4" w:space="0" w:color="auto"/>
              <w:left w:val="single" w:sz="4" w:space="0" w:color="auto"/>
              <w:bottom w:val="single" w:sz="4" w:space="0" w:color="auto"/>
              <w:right w:val="single" w:sz="4" w:space="0" w:color="auto"/>
            </w:tcBorders>
            <w:vAlign w:val="center"/>
          </w:tcPr>
          <w:p w14:paraId="477D73AA" w14:textId="77777777" w:rsidR="00C71A0E" w:rsidRPr="00716AC3" w:rsidRDefault="00C71A0E" w:rsidP="00DA2783">
            <w:pPr>
              <w:pStyle w:val="TAL"/>
              <w:widowControl w:val="0"/>
              <w:jc w:val="center"/>
              <w:rPr>
                <w:rFonts w:eastAsia="DengXian" w:cs="Arial"/>
                <w:sz w:val="16"/>
                <w:szCs w:val="16"/>
              </w:rPr>
            </w:pPr>
            <w:r w:rsidRPr="00BE7DBF">
              <w:rPr>
                <w:rFonts w:eastAsia="DengXian" w:cs="Arial"/>
                <w:sz w:val="16"/>
                <w:szCs w:val="16"/>
              </w:rPr>
              <w:t>CA_n77C</w:t>
            </w:r>
          </w:p>
        </w:tc>
        <w:tc>
          <w:tcPr>
            <w:tcW w:w="1325" w:type="pct"/>
            <w:tcBorders>
              <w:top w:val="single" w:sz="4" w:space="0" w:color="auto"/>
              <w:left w:val="single" w:sz="4" w:space="0" w:color="auto"/>
              <w:bottom w:val="single" w:sz="4" w:space="0" w:color="auto"/>
              <w:right w:val="single" w:sz="4" w:space="0" w:color="auto"/>
            </w:tcBorders>
            <w:vAlign w:val="center"/>
          </w:tcPr>
          <w:p w14:paraId="32CB252A" w14:textId="77777777" w:rsidR="00C71A0E" w:rsidRPr="00716AC3" w:rsidRDefault="00C71A0E" w:rsidP="00DA2783">
            <w:pPr>
              <w:pStyle w:val="TAL"/>
              <w:widowControl w:val="0"/>
              <w:jc w:val="center"/>
              <w:rPr>
                <w:rFonts w:eastAsia="DengXian" w:cs="Arial"/>
                <w:sz w:val="16"/>
                <w:szCs w:val="16"/>
              </w:rPr>
            </w:pPr>
            <w:r w:rsidRPr="00BE7DBF">
              <w:rPr>
                <w:rFonts w:eastAsia="DengXian" w:cs="Arial"/>
                <w:sz w:val="16"/>
                <w:szCs w:val="16"/>
              </w:rPr>
              <w:t>CA_n77C</w:t>
            </w:r>
          </w:p>
        </w:tc>
        <w:tc>
          <w:tcPr>
            <w:tcW w:w="685" w:type="pct"/>
            <w:tcBorders>
              <w:top w:val="single" w:sz="4" w:space="0" w:color="auto"/>
              <w:left w:val="single" w:sz="4" w:space="0" w:color="auto"/>
              <w:bottom w:val="single" w:sz="4" w:space="0" w:color="auto"/>
              <w:right w:val="single" w:sz="4" w:space="0" w:color="auto"/>
            </w:tcBorders>
            <w:vAlign w:val="center"/>
          </w:tcPr>
          <w:p w14:paraId="365D7F05" w14:textId="77777777" w:rsidR="00C71A0E" w:rsidRPr="00716AC3" w:rsidRDefault="00C71A0E" w:rsidP="00DA2783">
            <w:pPr>
              <w:pStyle w:val="TAL"/>
              <w:widowControl w:val="0"/>
              <w:jc w:val="center"/>
              <w:rPr>
                <w:rFonts w:cs="Arial"/>
                <w:kern w:val="2"/>
                <w:sz w:val="16"/>
                <w:szCs w:val="16"/>
                <w:lang w:val="en-US" w:eastAsia="zh-CN"/>
              </w:rPr>
            </w:pPr>
            <w:r>
              <w:rPr>
                <w:rFonts w:cs="Arial"/>
                <w:kern w:val="2"/>
                <w:sz w:val="16"/>
                <w:szCs w:val="16"/>
                <w:lang w:val="en-US" w:eastAsia="zh-CN"/>
              </w:rPr>
              <w:t>PC1.5</w:t>
            </w:r>
          </w:p>
        </w:tc>
        <w:tc>
          <w:tcPr>
            <w:tcW w:w="1496" w:type="pct"/>
            <w:tcBorders>
              <w:top w:val="single" w:sz="4" w:space="0" w:color="auto"/>
              <w:left w:val="single" w:sz="4" w:space="0" w:color="auto"/>
              <w:bottom w:val="single" w:sz="4" w:space="0" w:color="auto"/>
              <w:right w:val="single" w:sz="4" w:space="0" w:color="auto"/>
            </w:tcBorders>
            <w:vAlign w:val="center"/>
          </w:tcPr>
          <w:p w14:paraId="583CCA75" w14:textId="77777777" w:rsidR="00C71A0E" w:rsidRPr="00CA076B" w:rsidRDefault="00C71A0E" w:rsidP="00DA2783">
            <w:pPr>
              <w:pStyle w:val="TAL"/>
              <w:widowControl w:val="0"/>
              <w:jc w:val="center"/>
              <w:rPr>
                <w:rFonts w:cs="Arial"/>
                <w:kern w:val="2"/>
                <w:sz w:val="16"/>
                <w:szCs w:val="16"/>
                <w:lang w:val="en-US" w:eastAsia="zh-CN"/>
              </w:rPr>
            </w:pPr>
            <w:r>
              <w:rPr>
                <w:rFonts w:cs="Arial"/>
                <w:kern w:val="2"/>
                <w:sz w:val="16"/>
                <w:szCs w:val="16"/>
                <w:lang w:val="en-US" w:eastAsia="zh-CN"/>
              </w:rPr>
              <w:t>New</w:t>
            </w:r>
          </w:p>
        </w:tc>
      </w:tr>
      <w:tr w:rsidR="00C71A0E" w14:paraId="5679220F" w14:textId="77777777" w:rsidTr="00C71A0E">
        <w:trPr>
          <w:cantSplit/>
          <w:trHeight w:val="70"/>
          <w:jc w:val="center"/>
        </w:trPr>
        <w:tc>
          <w:tcPr>
            <w:tcW w:w="1494" w:type="pct"/>
            <w:tcBorders>
              <w:top w:val="single" w:sz="4" w:space="0" w:color="auto"/>
              <w:left w:val="single" w:sz="4" w:space="0" w:color="auto"/>
              <w:bottom w:val="single" w:sz="4" w:space="0" w:color="auto"/>
              <w:right w:val="single" w:sz="4" w:space="0" w:color="auto"/>
            </w:tcBorders>
            <w:vAlign w:val="center"/>
          </w:tcPr>
          <w:p w14:paraId="56F3B0FC" w14:textId="77777777" w:rsidR="00C71A0E" w:rsidRPr="00BE7DBF" w:rsidRDefault="00C71A0E" w:rsidP="00DA2783">
            <w:pPr>
              <w:pStyle w:val="TAL"/>
              <w:widowControl w:val="0"/>
              <w:jc w:val="center"/>
              <w:rPr>
                <w:rFonts w:eastAsia="DengXian" w:cs="Arial"/>
                <w:sz w:val="16"/>
                <w:szCs w:val="16"/>
              </w:rPr>
            </w:pPr>
            <w:r w:rsidRPr="00FE68E5">
              <w:rPr>
                <w:rFonts w:eastAsia="DengXian" w:cs="Arial"/>
                <w:sz w:val="16"/>
                <w:szCs w:val="16"/>
              </w:rPr>
              <w:t>CA_n41(A-C)</w:t>
            </w:r>
          </w:p>
        </w:tc>
        <w:tc>
          <w:tcPr>
            <w:tcW w:w="1325" w:type="pct"/>
            <w:tcBorders>
              <w:top w:val="single" w:sz="4" w:space="0" w:color="auto"/>
              <w:left w:val="single" w:sz="4" w:space="0" w:color="auto"/>
              <w:bottom w:val="single" w:sz="4" w:space="0" w:color="auto"/>
              <w:right w:val="single" w:sz="4" w:space="0" w:color="auto"/>
            </w:tcBorders>
            <w:vAlign w:val="center"/>
          </w:tcPr>
          <w:p w14:paraId="5DD99208" w14:textId="77777777" w:rsidR="00C71A0E" w:rsidRPr="00BE7DBF" w:rsidRDefault="00C71A0E" w:rsidP="00DA2783">
            <w:pPr>
              <w:pStyle w:val="TAL"/>
              <w:widowControl w:val="0"/>
              <w:jc w:val="center"/>
              <w:rPr>
                <w:rFonts w:eastAsia="DengXian" w:cs="Arial"/>
                <w:sz w:val="16"/>
                <w:szCs w:val="16"/>
              </w:rPr>
            </w:pPr>
            <w:r w:rsidRPr="00FE68E5">
              <w:rPr>
                <w:rFonts w:eastAsia="DengXian" w:cs="Arial"/>
                <w:sz w:val="16"/>
                <w:szCs w:val="16"/>
              </w:rPr>
              <w:t>CA_n41C</w:t>
            </w:r>
          </w:p>
        </w:tc>
        <w:tc>
          <w:tcPr>
            <w:tcW w:w="685" w:type="pct"/>
            <w:tcBorders>
              <w:top w:val="single" w:sz="4" w:space="0" w:color="auto"/>
              <w:left w:val="single" w:sz="4" w:space="0" w:color="auto"/>
              <w:bottom w:val="single" w:sz="4" w:space="0" w:color="auto"/>
              <w:right w:val="single" w:sz="4" w:space="0" w:color="auto"/>
            </w:tcBorders>
            <w:vAlign w:val="center"/>
          </w:tcPr>
          <w:p w14:paraId="7EC4189D" w14:textId="77777777" w:rsidR="00C71A0E" w:rsidRDefault="00C71A0E" w:rsidP="00DA2783">
            <w:pPr>
              <w:pStyle w:val="TAL"/>
              <w:widowControl w:val="0"/>
              <w:jc w:val="center"/>
              <w:rPr>
                <w:rFonts w:cs="Arial"/>
                <w:kern w:val="2"/>
                <w:sz w:val="16"/>
                <w:szCs w:val="16"/>
                <w:lang w:val="en-US" w:eastAsia="zh-CN"/>
              </w:rPr>
            </w:pPr>
            <w:r>
              <w:rPr>
                <w:rFonts w:cs="Arial"/>
                <w:kern w:val="2"/>
                <w:sz w:val="16"/>
                <w:szCs w:val="16"/>
                <w:lang w:val="en-US" w:eastAsia="zh-CN"/>
              </w:rPr>
              <w:t>PC1.5</w:t>
            </w:r>
          </w:p>
        </w:tc>
        <w:tc>
          <w:tcPr>
            <w:tcW w:w="1496" w:type="pct"/>
            <w:tcBorders>
              <w:top w:val="single" w:sz="4" w:space="0" w:color="auto"/>
              <w:left w:val="single" w:sz="4" w:space="0" w:color="auto"/>
              <w:bottom w:val="single" w:sz="4" w:space="0" w:color="auto"/>
              <w:right w:val="single" w:sz="4" w:space="0" w:color="auto"/>
            </w:tcBorders>
            <w:vAlign w:val="center"/>
          </w:tcPr>
          <w:p w14:paraId="70570C20" w14:textId="77777777" w:rsidR="00C71A0E" w:rsidRDefault="00C71A0E" w:rsidP="00DA2783">
            <w:pPr>
              <w:pStyle w:val="TAL"/>
              <w:widowControl w:val="0"/>
              <w:jc w:val="center"/>
              <w:rPr>
                <w:rFonts w:cs="Arial"/>
                <w:kern w:val="2"/>
                <w:sz w:val="16"/>
                <w:szCs w:val="16"/>
                <w:lang w:val="en-US" w:eastAsia="zh-CN"/>
              </w:rPr>
            </w:pPr>
            <w:r>
              <w:rPr>
                <w:rFonts w:cs="Arial"/>
                <w:kern w:val="2"/>
                <w:sz w:val="16"/>
                <w:szCs w:val="16"/>
                <w:lang w:val="en-US" w:eastAsia="zh-CN"/>
              </w:rPr>
              <w:t>New</w:t>
            </w:r>
          </w:p>
        </w:tc>
      </w:tr>
      <w:tr w:rsidR="00C71A0E" w14:paraId="421F37D0" w14:textId="77777777" w:rsidTr="00C71A0E">
        <w:trPr>
          <w:cantSplit/>
          <w:trHeight w:val="70"/>
          <w:jc w:val="center"/>
        </w:trPr>
        <w:tc>
          <w:tcPr>
            <w:tcW w:w="1494" w:type="pct"/>
            <w:tcBorders>
              <w:top w:val="single" w:sz="4" w:space="0" w:color="auto"/>
              <w:left w:val="single" w:sz="4" w:space="0" w:color="auto"/>
              <w:bottom w:val="single" w:sz="4" w:space="0" w:color="auto"/>
              <w:right w:val="single" w:sz="4" w:space="0" w:color="auto"/>
            </w:tcBorders>
            <w:vAlign w:val="center"/>
          </w:tcPr>
          <w:p w14:paraId="001C6BCD" w14:textId="77777777" w:rsidR="00C71A0E" w:rsidRPr="00FE68E5" w:rsidRDefault="00C71A0E" w:rsidP="00DA2783">
            <w:pPr>
              <w:pStyle w:val="TAL"/>
              <w:widowControl w:val="0"/>
              <w:jc w:val="center"/>
              <w:rPr>
                <w:rFonts w:eastAsia="DengXian" w:cs="Arial"/>
                <w:sz w:val="16"/>
                <w:szCs w:val="16"/>
              </w:rPr>
            </w:pPr>
            <w:r>
              <w:rPr>
                <w:rFonts w:eastAsia="DengXian" w:cs="Arial"/>
                <w:sz w:val="16"/>
                <w:szCs w:val="16"/>
              </w:rPr>
              <w:t>CA_n41</w:t>
            </w:r>
            <w:r w:rsidRPr="00FE68E5">
              <w:rPr>
                <w:rFonts w:eastAsia="DengXian" w:cs="Arial"/>
                <w:sz w:val="16"/>
                <w:szCs w:val="16"/>
              </w:rPr>
              <w:t>C</w:t>
            </w:r>
          </w:p>
        </w:tc>
        <w:tc>
          <w:tcPr>
            <w:tcW w:w="1325" w:type="pct"/>
            <w:tcBorders>
              <w:top w:val="single" w:sz="4" w:space="0" w:color="auto"/>
              <w:left w:val="single" w:sz="4" w:space="0" w:color="auto"/>
              <w:bottom w:val="single" w:sz="4" w:space="0" w:color="auto"/>
              <w:right w:val="single" w:sz="4" w:space="0" w:color="auto"/>
            </w:tcBorders>
            <w:vAlign w:val="center"/>
          </w:tcPr>
          <w:p w14:paraId="5D603C7C" w14:textId="77777777" w:rsidR="00C71A0E" w:rsidRPr="00FE68E5" w:rsidRDefault="00C71A0E" w:rsidP="00DA2783">
            <w:pPr>
              <w:pStyle w:val="TAL"/>
              <w:widowControl w:val="0"/>
              <w:jc w:val="center"/>
              <w:rPr>
                <w:rFonts w:eastAsia="DengXian" w:cs="Arial"/>
                <w:sz w:val="16"/>
                <w:szCs w:val="16"/>
              </w:rPr>
            </w:pPr>
            <w:r w:rsidRPr="00FE68E5">
              <w:rPr>
                <w:rFonts w:eastAsia="DengXian" w:cs="Arial"/>
                <w:sz w:val="16"/>
                <w:szCs w:val="16"/>
              </w:rPr>
              <w:t>CA_n41C</w:t>
            </w:r>
          </w:p>
        </w:tc>
        <w:tc>
          <w:tcPr>
            <w:tcW w:w="685" w:type="pct"/>
            <w:tcBorders>
              <w:top w:val="single" w:sz="4" w:space="0" w:color="auto"/>
              <w:left w:val="single" w:sz="4" w:space="0" w:color="auto"/>
              <w:bottom w:val="single" w:sz="4" w:space="0" w:color="auto"/>
              <w:right w:val="single" w:sz="4" w:space="0" w:color="auto"/>
            </w:tcBorders>
            <w:vAlign w:val="center"/>
          </w:tcPr>
          <w:p w14:paraId="4FFD56E9" w14:textId="77777777" w:rsidR="00C71A0E" w:rsidRDefault="00C71A0E" w:rsidP="00DA2783">
            <w:pPr>
              <w:pStyle w:val="TAL"/>
              <w:widowControl w:val="0"/>
              <w:jc w:val="center"/>
              <w:rPr>
                <w:rFonts w:cs="Arial"/>
                <w:kern w:val="2"/>
                <w:sz w:val="16"/>
                <w:szCs w:val="16"/>
                <w:lang w:val="en-US" w:eastAsia="zh-CN"/>
              </w:rPr>
            </w:pPr>
            <w:r>
              <w:rPr>
                <w:rFonts w:cs="Arial"/>
                <w:kern w:val="2"/>
                <w:sz w:val="16"/>
                <w:szCs w:val="16"/>
                <w:lang w:val="en-US" w:eastAsia="zh-CN"/>
              </w:rPr>
              <w:t>PC1.5</w:t>
            </w:r>
          </w:p>
        </w:tc>
        <w:tc>
          <w:tcPr>
            <w:tcW w:w="1496" w:type="pct"/>
            <w:tcBorders>
              <w:top w:val="single" w:sz="4" w:space="0" w:color="auto"/>
              <w:left w:val="single" w:sz="4" w:space="0" w:color="auto"/>
              <w:bottom w:val="single" w:sz="4" w:space="0" w:color="auto"/>
              <w:right w:val="single" w:sz="4" w:space="0" w:color="auto"/>
            </w:tcBorders>
            <w:vAlign w:val="center"/>
          </w:tcPr>
          <w:p w14:paraId="545B0016" w14:textId="77777777" w:rsidR="00C71A0E" w:rsidRDefault="00C71A0E" w:rsidP="00DA2783">
            <w:pPr>
              <w:pStyle w:val="TAL"/>
              <w:widowControl w:val="0"/>
              <w:jc w:val="center"/>
              <w:rPr>
                <w:rFonts w:cs="Arial"/>
                <w:kern w:val="2"/>
                <w:sz w:val="16"/>
                <w:szCs w:val="16"/>
                <w:lang w:val="en-US" w:eastAsia="zh-CN"/>
              </w:rPr>
            </w:pPr>
            <w:r>
              <w:rPr>
                <w:rFonts w:cs="Arial"/>
                <w:kern w:val="2"/>
                <w:sz w:val="16"/>
                <w:szCs w:val="16"/>
                <w:lang w:val="en-US" w:eastAsia="zh-CN"/>
              </w:rPr>
              <w:t>New</w:t>
            </w:r>
          </w:p>
        </w:tc>
      </w:tr>
    </w:tbl>
    <w:p w14:paraId="3C541BC4" w14:textId="77777777" w:rsidR="00C71A0E" w:rsidRDefault="00C71A0E" w:rsidP="00C71A0E">
      <w:pPr>
        <w:spacing w:after="0"/>
        <w:rPr>
          <w:rFonts w:eastAsia="SimSun"/>
          <w:lang w:eastAsia="zh-CN"/>
        </w:rPr>
      </w:pPr>
    </w:p>
    <w:p w14:paraId="1867FF07" w14:textId="3D5D38AD" w:rsidR="00C71A0E" w:rsidRDefault="00C71A0E" w:rsidP="00B83DBA">
      <w:pPr>
        <w:rPr>
          <w:rFonts w:eastAsia="SimSun"/>
          <w:lang w:eastAsia="zh-CN"/>
        </w:rPr>
      </w:pPr>
      <w:r>
        <w:rPr>
          <w:rFonts w:eastAsia="SimSun"/>
          <w:lang w:eastAsia="zh-CN"/>
        </w:rPr>
        <w:t xml:space="preserve">Currently, intra-band contiguous ULCA requirements like MPR or A-MPR are only specified for PC3 (from release 16) and PC2 (from release 17). </w:t>
      </w:r>
    </w:p>
    <w:p w14:paraId="775B7F3C" w14:textId="166DA25C" w:rsidR="00C71A0E" w:rsidRDefault="00C71A0E" w:rsidP="00B83DBA">
      <w:pPr>
        <w:rPr>
          <w:rFonts w:eastAsia="SimSun"/>
          <w:lang w:eastAsia="zh-CN"/>
        </w:rPr>
      </w:pPr>
      <w:r>
        <w:rPr>
          <w:rFonts w:eastAsia="SimSun"/>
          <w:lang w:eastAsia="zh-CN"/>
        </w:rPr>
        <w:t xml:space="preserve">There is no MPR or A-MPR specified for PC1.5. It should be feasible to develop these requirements based on the PC2 2Tx cases with 1LO and reuse some of the contiguous and non-contiguous allocations definitions. However, this work was </w:t>
      </w:r>
      <w:r w:rsidR="00F84280">
        <w:rPr>
          <w:rFonts w:eastAsia="SimSun"/>
          <w:lang w:eastAsia="zh-CN"/>
        </w:rPr>
        <w:t>performed</w:t>
      </w:r>
      <w:r>
        <w:rPr>
          <w:rFonts w:eastAsia="SimSun"/>
          <w:lang w:eastAsia="zh-CN"/>
        </w:rPr>
        <w:t xml:space="preserve"> under the FR1 enhanced non-spectrum WI in R16 and R17 and we are </w:t>
      </w:r>
      <w:r w:rsidR="00F84280">
        <w:rPr>
          <w:rFonts w:eastAsia="SimSun"/>
          <w:lang w:eastAsia="zh-CN"/>
        </w:rPr>
        <w:t>now</w:t>
      </w:r>
      <w:r>
        <w:rPr>
          <w:rFonts w:eastAsia="SimSun"/>
          <w:lang w:eastAsia="zh-CN"/>
        </w:rPr>
        <w:t xml:space="preserve"> </w:t>
      </w:r>
      <w:r w:rsidR="00F84280">
        <w:rPr>
          <w:rFonts w:eastAsia="SimSun"/>
          <w:lang w:eastAsia="zh-CN"/>
        </w:rPr>
        <w:t>un</w:t>
      </w:r>
      <w:r>
        <w:rPr>
          <w:rFonts w:eastAsia="SimSun"/>
          <w:lang w:eastAsia="zh-CN"/>
        </w:rPr>
        <w:t xml:space="preserve">sure if these generic requirements can be developed within a spectrum HPUE basket. It should be noted that PC2 n41C NS04 A-MPR is not </w:t>
      </w:r>
      <w:r w:rsidR="00011F8E">
        <w:rPr>
          <w:rFonts w:eastAsia="SimSun"/>
          <w:lang w:eastAsia="zh-CN"/>
        </w:rPr>
        <w:t xml:space="preserve">yet </w:t>
      </w:r>
      <w:r>
        <w:rPr>
          <w:rFonts w:eastAsia="SimSun"/>
          <w:lang w:eastAsia="zh-CN"/>
        </w:rPr>
        <w:t xml:space="preserve">specified </w:t>
      </w:r>
      <w:r w:rsidR="00011F8E">
        <w:rPr>
          <w:rFonts w:eastAsia="SimSun"/>
          <w:lang w:eastAsia="zh-CN"/>
        </w:rPr>
        <w:t>for all types of allocations.</w:t>
      </w:r>
    </w:p>
    <w:p w14:paraId="42DBA8B7" w14:textId="62722BEF" w:rsidR="00C71A0E" w:rsidRDefault="00C71A0E" w:rsidP="00B83DBA">
      <w:pPr>
        <w:rPr>
          <w:rFonts w:eastAsia="SimSun"/>
          <w:lang w:eastAsia="zh-CN"/>
        </w:rPr>
      </w:pPr>
      <w:r>
        <w:rPr>
          <w:rFonts w:eastAsia="SimSun"/>
          <w:lang w:eastAsia="zh-CN"/>
        </w:rPr>
        <w:t>This MPR and A-MPR work is intensive and required contribution</w:t>
      </w:r>
      <w:r w:rsidR="00F84280">
        <w:rPr>
          <w:rFonts w:eastAsia="SimSun"/>
          <w:lang w:eastAsia="zh-CN"/>
        </w:rPr>
        <w:t>s</w:t>
      </w:r>
      <w:r>
        <w:rPr>
          <w:rFonts w:eastAsia="SimSun"/>
          <w:lang w:eastAsia="zh-CN"/>
        </w:rPr>
        <w:t xml:space="preserve"> from multiple companies based on example bands</w:t>
      </w:r>
      <w:r w:rsidR="00011F8E">
        <w:rPr>
          <w:rFonts w:eastAsia="SimSun"/>
          <w:lang w:eastAsia="zh-CN"/>
        </w:rPr>
        <w:t xml:space="preserve"> and it is unclear how this work is conducted in a spectrum HPUE WI, especially if more cases are added that need a band</w:t>
      </w:r>
      <w:r w:rsidR="00F84280">
        <w:rPr>
          <w:rFonts w:eastAsia="SimSun"/>
          <w:lang w:eastAsia="zh-CN"/>
        </w:rPr>
        <w:t>-</w:t>
      </w:r>
      <w:r w:rsidR="00011F8E">
        <w:rPr>
          <w:rFonts w:eastAsia="SimSun"/>
          <w:lang w:eastAsia="zh-CN"/>
        </w:rPr>
        <w:t>specific A-MPR.</w:t>
      </w:r>
    </w:p>
    <w:p w14:paraId="61F36263" w14:textId="77777777" w:rsidR="00F05DF1" w:rsidRPr="008119F3" w:rsidRDefault="00F05DF1" w:rsidP="00F05DF1">
      <w:pPr>
        <w:spacing w:after="0"/>
        <w:rPr>
          <w:rFonts w:eastAsia="SimSun"/>
          <w:b/>
          <w:bCs/>
          <w:lang w:eastAsia="zh-CN"/>
        </w:rPr>
      </w:pPr>
      <w:r w:rsidRPr="008119F3">
        <w:rPr>
          <w:rFonts w:eastAsia="SimSun"/>
          <w:b/>
          <w:bCs/>
          <w:lang w:eastAsia="zh-CN"/>
        </w:rPr>
        <w:t>Proposal:</w:t>
      </w:r>
    </w:p>
    <w:p w14:paraId="5112539E" w14:textId="77777777" w:rsidR="00F05DF1" w:rsidRPr="008119F3" w:rsidRDefault="00F05DF1" w:rsidP="00F05DF1">
      <w:pPr>
        <w:pStyle w:val="ListParagraph"/>
        <w:numPr>
          <w:ilvl w:val="0"/>
          <w:numId w:val="37"/>
        </w:numPr>
        <w:rPr>
          <w:b/>
          <w:bCs/>
          <w:lang w:eastAsia="zh-CN"/>
        </w:rPr>
      </w:pPr>
      <w:r w:rsidRPr="008119F3">
        <w:rPr>
          <w:b/>
          <w:bCs/>
          <w:lang w:eastAsia="zh-CN"/>
        </w:rPr>
        <w:t>MPR for PC1.5 contiguous ULCA contiguous and non-contiguous allocations needs to be evaluated and specified</w:t>
      </w:r>
    </w:p>
    <w:p w14:paraId="471EC491" w14:textId="77777777" w:rsidR="00F05DF1" w:rsidRPr="008119F3" w:rsidRDefault="00F05DF1" w:rsidP="00F05DF1">
      <w:pPr>
        <w:pStyle w:val="ListParagraph"/>
        <w:numPr>
          <w:ilvl w:val="0"/>
          <w:numId w:val="37"/>
        </w:numPr>
        <w:rPr>
          <w:b/>
          <w:bCs/>
          <w:lang w:eastAsia="zh-CN"/>
        </w:rPr>
      </w:pPr>
      <w:r w:rsidRPr="008119F3">
        <w:rPr>
          <w:b/>
          <w:bCs/>
          <w:lang w:eastAsia="zh-CN"/>
        </w:rPr>
        <w:t>RAN4 should clarify if this general requirement work can be conducted under the spectrum WI HPUE_NR_FR1_TDD_intra_CA_R18</w:t>
      </w:r>
    </w:p>
    <w:p w14:paraId="0267C54C" w14:textId="77777777" w:rsidR="00F05DF1" w:rsidRPr="008119F3" w:rsidRDefault="00F05DF1" w:rsidP="00F05DF1">
      <w:pPr>
        <w:pStyle w:val="ListParagraph"/>
        <w:numPr>
          <w:ilvl w:val="1"/>
          <w:numId w:val="37"/>
        </w:numPr>
        <w:rPr>
          <w:b/>
          <w:bCs/>
          <w:lang w:eastAsia="zh-CN"/>
        </w:rPr>
      </w:pPr>
      <w:r w:rsidRPr="008119F3">
        <w:rPr>
          <w:b/>
          <w:bCs/>
          <w:lang w:eastAsia="zh-CN"/>
        </w:rPr>
        <w:t>If so n41C and n77C are used as example bands</w:t>
      </w:r>
    </w:p>
    <w:p w14:paraId="6208A72F" w14:textId="77777777" w:rsidR="00F05DF1" w:rsidRDefault="00F05DF1" w:rsidP="00F05DF1">
      <w:pPr>
        <w:pStyle w:val="ListParagraph"/>
        <w:numPr>
          <w:ilvl w:val="0"/>
          <w:numId w:val="37"/>
        </w:numPr>
        <w:rPr>
          <w:b/>
          <w:bCs/>
          <w:lang w:eastAsia="zh-CN"/>
        </w:rPr>
      </w:pPr>
      <w:r w:rsidRPr="008119F3">
        <w:rPr>
          <w:b/>
          <w:bCs/>
          <w:lang w:eastAsia="zh-CN"/>
        </w:rPr>
        <w:t>After MPR is developed NS_04 A-MPR can be specified for PC1.5 together with the missing PC2 specification.</w:t>
      </w:r>
    </w:p>
    <w:p w14:paraId="0102A739" w14:textId="77777777" w:rsidR="00F05DF1" w:rsidRPr="00F05DF1" w:rsidRDefault="00F05DF1" w:rsidP="00F05DF1">
      <w:pPr>
        <w:pStyle w:val="ListParagraph"/>
        <w:numPr>
          <w:ilvl w:val="1"/>
          <w:numId w:val="37"/>
        </w:numPr>
        <w:rPr>
          <w:b/>
          <w:bCs/>
          <w:lang w:eastAsia="zh-CN"/>
        </w:rPr>
      </w:pPr>
      <w:r>
        <w:rPr>
          <w:b/>
          <w:bCs/>
          <w:lang w:eastAsia="zh-CN"/>
        </w:rPr>
        <w:t>If a similar UL configuration is needed for Japan, NS_47 may be further needed</w:t>
      </w:r>
    </w:p>
    <w:p w14:paraId="5DD5E476" w14:textId="77777777" w:rsidR="00F05DF1" w:rsidRDefault="00F05DF1" w:rsidP="00F05DF1">
      <w:pPr>
        <w:pStyle w:val="ListParagraph"/>
        <w:numPr>
          <w:ilvl w:val="0"/>
          <w:numId w:val="37"/>
        </w:numPr>
        <w:rPr>
          <w:b/>
          <w:bCs/>
          <w:lang w:eastAsia="zh-CN"/>
        </w:rPr>
      </w:pPr>
      <w:r w:rsidRPr="008119F3">
        <w:rPr>
          <w:b/>
          <w:bCs/>
          <w:lang w:eastAsia="zh-CN"/>
        </w:rPr>
        <w:t>The only applicable architecture is 2Tx with 1 LO transmitter</w:t>
      </w:r>
    </w:p>
    <w:p w14:paraId="71AA69E4" w14:textId="77777777" w:rsidR="00F05DF1" w:rsidRDefault="00F05DF1" w:rsidP="00F05DF1">
      <w:pPr>
        <w:pStyle w:val="ListParagraph"/>
        <w:numPr>
          <w:ilvl w:val="0"/>
          <w:numId w:val="37"/>
        </w:numPr>
        <w:rPr>
          <w:b/>
          <w:bCs/>
          <w:lang w:eastAsia="zh-CN"/>
        </w:rPr>
      </w:pPr>
      <w:r>
        <w:rPr>
          <w:b/>
          <w:bCs/>
          <w:lang w:eastAsia="zh-CN"/>
        </w:rPr>
        <w:t>The inter-band combinations with UL configuration PC1.5 n77C cannot be completed until the related MPR is specified</w:t>
      </w:r>
    </w:p>
    <w:p w14:paraId="31AD5221" w14:textId="77777777" w:rsidR="00F05DF1" w:rsidRDefault="00F05DF1" w:rsidP="00F05DF1">
      <w:pPr>
        <w:pStyle w:val="ListParagraph"/>
        <w:numPr>
          <w:ilvl w:val="0"/>
          <w:numId w:val="37"/>
        </w:numPr>
        <w:rPr>
          <w:b/>
          <w:bCs/>
          <w:lang w:eastAsia="zh-CN"/>
        </w:rPr>
      </w:pPr>
      <w:r>
        <w:rPr>
          <w:b/>
          <w:bCs/>
          <w:lang w:eastAsia="zh-CN"/>
        </w:rPr>
        <w:t>The inter-band combinations with UL configuration PC1.5 n41C cannot be completed until the related MPR and NS_04 A-MPR is specified</w:t>
      </w:r>
    </w:p>
    <w:p w14:paraId="61349108" w14:textId="77777777" w:rsidR="00F05DF1" w:rsidRPr="008119F3" w:rsidRDefault="00F05DF1" w:rsidP="00F05DF1">
      <w:pPr>
        <w:pStyle w:val="ListParagraph"/>
        <w:numPr>
          <w:ilvl w:val="1"/>
          <w:numId w:val="37"/>
        </w:numPr>
        <w:rPr>
          <w:b/>
          <w:bCs/>
          <w:lang w:eastAsia="zh-CN"/>
        </w:rPr>
      </w:pPr>
      <w:r>
        <w:rPr>
          <w:b/>
          <w:bCs/>
          <w:lang w:eastAsia="zh-CN"/>
        </w:rPr>
        <w:t>If a similar UL configuration is needed for Japan, NS_47 may be further needed</w:t>
      </w:r>
    </w:p>
    <w:p w14:paraId="38ACBFF7" w14:textId="77777777" w:rsidR="00F05DF1" w:rsidRPr="008119F3" w:rsidRDefault="00F05DF1" w:rsidP="00F05DF1">
      <w:pPr>
        <w:pStyle w:val="ListParagraph"/>
        <w:numPr>
          <w:ilvl w:val="0"/>
          <w:numId w:val="37"/>
        </w:numPr>
        <w:rPr>
          <w:b/>
          <w:bCs/>
          <w:lang w:eastAsia="zh-CN"/>
        </w:rPr>
      </w:pPr>
      <w:r w:rsidRPr="008119F3">
        <w:rPr>
          <w:b/>
          <w:bCs/>
          <w:lang w:eastAsia="zh-CN"/>
        </w:rPr>
        <w:t>The WI objectives are updated to precisely describe the amount of work needed as today’s description is very succinct</w:t>
      </w:r>
      <w:r>
        <w:rPr>
          <w:b/>
          <w:bCs/>
          <w:lang w:eastAsia="zh-CN"/>
        </w:rPr>
        <w:t xml:space="preserve"> and does not represent properly the work involved.</w:t>
      </w:r>
    </w:p>
    <w:p w14:paraId="7BE54F94" w14:textId="77777777" w:rsidR="00305289" w:rsidRDefault="00305289" w:rsidP="00274AAC">
      <w:pPr>
        <w:pStyle w:val="Heading1"/>
        <w:tabs>
          <w:tab w:val="clear" w:pos="1152"/>
          <w:tab w:val="num" w:pos="450"/>
        </w:tabs>
        <w:ind w:left="450"/>
      </w:pPr>
      <w:r>
        <w:t>Conclusions</w:t>
      </w:r>
    </w:p>
    <w:p w14:paraId="68711531" w14:textId="452B8A00" w:rsidR="00510EE8" w:rsidRDefault="00305289" w:rsidP="00C64412">
      <w:pPr>
        <w:spacing w:after="0"/>
        <w:jc w:val="both"/>
      </w:pPr>
      <w:r>
        <w:t>In this contribution</w:t>
      </w:r>
      <w:r w:rsidR="009B7F5E">
        <w:t xml:space="preserve">, we </w:t>
      </w:r>
      <w:r w:rsidR="008119F3">
        <w:t>point at the missing requirements needed for the support of n41C and n77C PC1.5 UL configurations and make the following proposal.</w:t>
      </w:r>
    </w:p>
    <w:p w14:paraId="2BC7DE5C" w14:textId="2DAA4285" w:rsidR="00CA404D" w:rsidRDefault="00CA404D" w:rsidP="00C64412">
      <w:pPr>
        <w:spacing w:after="0"/>
        <w:jc w:val="both"/>
      </w:pPr>
    </w:p>
    <w:p w14:paraId="2B21F91C" w14:textId="77777777" w:rsidR="006A608B" w:rsidRPr="008119F3" w:rsidRDefault="006A608B" w:rsidP="006A608B">
      <w:pPr>
        <w:spacing w:after="0"/>
        <w:rPr>
          <w:rFonts w:eastAsia="SimSun"/>
          <w:b/>
          <w:bCs/>
          <w:lang w:eastAsia="zh-CN"/>
        </w:rPr>
      </w:pPr>
      <w:r w:rsidRPr="008119F3">
        <w:rPr>
          <w:rFonts w:eastAsia="SimSun"/>
          <w:b/>
          <w:bCs/>
          <w:lang w:eastAsia="zh-CN"/>
        </w:rPr>
        <w:t>Proposal:</w:t>
      </w:r>
    </w:p>
    <w:p w14:paraId="515E648A" w14:textId="77777777" w:rsidR="006A608B" w:rsidRPr="008119F3" w:rsidRDefault="006A608B" w:rsidP="006A608B">
      <w:pPr>
        <w:pStyle w:val="ListParagraph"/>
        <w:numPr>
          <w:ilvl w:val="0"/>
          <w:numId w:val="37"/>
        </w:numPr>
        <w:rPr>
          <w:b/>
          <w:bCs/>
          <w:lang w:eastAsia="zh-CN"/>
        </w:rPr>
      </w:pPr>
      <w:r w:rsidRPr="008119F3">
        <w:rPr>
          <w:b/>
          <w:bCs/>
          <w:lang w:eastAsia="zh-CN"/>
        </w:rPr>
        <w:t>MPR for PC1.5 contiguous ULCA contiguous and non-contiguous allocations needs to be evaluated and specified</w:t>
      </w:r>
    </w:p>
    <w:p w14:paraId="2D43D2E8" w14:textId="77777777" w:rsidR="006A608B" w:rsidRPr="008119F3" w:rsidRDefault="006A608B" w:rsidP="006A608B">
      <w:pPr>
        <w:pStyle w:val="ListParagraph"/>
        <w:numPr>
          <w:ilvl w:val="0"/>
          <w:numId w:val="37"/>
        </w:numPr>
        <w:rPr>
          <w:b/>
          <w:bCs/>
          <w:lang w:eastAsia="zh-CN"/>
        </w:rPr>
      </w:pPr>
      <w:r w:rsidRPr="008119F3">
        <w:rPr>
          <w:b/>
          <w:bCs/>
          <w:lang w:eastAsia="zh-CN"/>
        </w:rPr>
        <w:t>RAN4 should clarify if this general requirement work can be conducted under the spectrum WI HPUE_NR_FR1_TDD_intra_CA_R18</w:t>
      </w:r>
    </w:p>
    <w:p w14:paraId="1DFEE0C8" w14:textId="77777777" w:rsidR="006A608B" w:rsidRPr="008119F3" w:rsidRDefault="006A608B" w:rsidP="006A608B">
      <w:pPr>
        <w:pStyle w:val="ListParagraph"/>
        <w:numPr>
          <w:ilvl w:val="1"/>
          <w:numId w:val="37"/>
        </w:numPr>
        <w:rPr>
          <w:b/>
          <w:bCs/>
          <w:lang w:eastAsia="zh-CN"/>
        </w:rPr>
      </w:pPr>
      <w:r w:rsidRPr="008119F3">
        <w:rPr>
          <w:b/>
          <w:bCs/>
          <w:lang w:eastAsia="zh-CN"/>
        </w:rPr>
        <w:t>If so n41C and n77C are used as example bands</w:t>
      </w:r>
    </w:p>
    <w:p w14:paraId="56020B9B" w14:textId="529B128F" w:rsidR="006A608B" w:rsidRDefault="006A608B" w:rsidP="006A608B">
      <w:pPr>
        <w:pStyle w:val="ListParagraph"/>
        <w:numPr>
          <w:ilvl w:val="0"/>
          <w:numId w:val="37"/>
        </w:numPr>
        <w:rPr>
          <w:b/>
          <w:bCs/>
          <w:lang w:eastAsia="zh-CN"/>
        </w:rPr>
      </w:pPr>
      <w:r w:rsidRPr="008119F3">
        <w:rPr>
          <w:b/>
          <w:bCs/>
          <w:lang w:eastAsia="zh-CN"/>
        </w:rPr>
        <w:lastRenderedPageBreak/>
        <w:t>After MPR is developed NS_04 A-MPR can be specified for PC1.5 together with the missing PC2 specification.</w:t>
      </w:r>
    </w:p>
    <w:p w14:paraId="2223E74B" w14:textId="3F348B35" w:rsidR="00F05DF1" w:rsidRPr="00F05DF1" w:rsidRDefault="00F05DF1" w:rsidP="00F05DF1">
      <w:pPr>
        <w:pStyle w:val="ListParagraph"/>
        <w:numPr>
          <w:ilvl w:val="1"/>
          <w:numId w:val="37"/>
        </w:numPr>
        <w:rPr>
          <w:b/>
          <w:bCs/>
          <w:lang w:eastAsia="zh-CN"/>
        </w:rPr>
      </w:pPr>
      <w:r>
        <w:rPr>
          <w:b/>
          <w:bCs/>
          <w:lang w:eastAsia="zh-CN"/>
        </w:rPr>
        <w:t>If a similar UL configuration is needed for Japan, NS_47 may be further needed</w:t>
      </w:r>
    </w:p>
    <w:p w14:paraId="278426EE" w14:textId="77777777" w:rsidR="006A608B" w:rsidRDefault="006A608B" w:rsidP="006A608B">
      <w:pPr>
        <w:pStyle w:val="ListParagraph"/>
        <w:numPr>
          <w:ilvl w:val="0"/>
          <w:numId w:val="37"/>
        </w:numPr>
        <w:rPr>
          <w:b/>
          <w:bCs/>
          <w:lang w:eastAsia="zh-CN"/>
        </w:rPr>
      </w:pPr>
      <w:r w:rsidRPr="008119F3">
        <w:rPr>
          <w:b/>
          <w:bCs/>
          <w:lang w:eastAsia="zh-CN"/>
        </w:rPr>
        <w:t>The only applicable architecture is 2Tx with 1 LO transmitter</w:t>
      </w:r>
    </w:p>
    <w:p w14:paraId="13D64856" w14:textId="77777777" w:rsidR="006A608B" w:rsidRDefault="006A608B" w:rsidP="006A608B">
      <w:pPr>
        <w:pStyle w:val="ListParagraph"/>
        <w:numPr>
          <w:ilvl w:val="0"/>
          <w:numId w:val="37"/>
        </w:numPr>
        <w:rPr>
          <w:b/>
          <w:bCs/>
          <w:lang w:eastAsia="zh-CN"/>
        </w:rPr>
      </w:pPr>
      <w:r>
        <w:rPr>
          <w:b/>
          <w:bCs/>
          <w:lang w:eastAsia="zh-CN"/>
        </w:rPr>
        <w:t>The inter-band combinations with UL configuration PC1.5 n77C cannot be completed until the related MPR is specified</w:t>
      </w:r>
    </w:p>
    <w:p w14:paraId="26255C9D" w14:textId="77777777" w:rsidR="00F05DF1" w:rsidRDefault="006A608B" w:rsidP="006A608B">
      <w:pPr>
        <w:pStyle w:val="ListParagraph"/>
        <w:numPr>
          <w:ilvl w:val="0"/>
          <w:numId w:val="37"/>
        </w:numPr>
        <w:rPr>
          <w:b/>
          <w:bCs/>
          <w:lang w:eastAsia="zh-CN"/>
        </w:rPr>
      </w:pPr>
      <w:r>
        <w:rPr>
          <w:b/>
          <w:bCs/>
          <w:lang w:eastAsia="zh-CN"/>
        </w:rPr>
        <w:t>The inter-band combinations with UL configuration PC1.5 n</w:t>
      </w:r>
      <w:r w:rsidR="00F05DF1">
        <w:rPr>
          <w:b/>
          <w:bCs/>
          <w:lang w:eastAsia="zh-CN"/>
        </w:rPr>
        <w:t>41</w:t>
      </w:r>
      <w:r>
        <w:rPr>
          <w:b/>
          <w:bCs/>
          <w:lang w:eastAsia="zh-CN"/>
        </w:rPr>
        <w:t>C cannot be completed until the related MPR and NS_04 A-MPR is specified</w:t>
      </w:r>
    </w:p>
    <w:p w14:paraId="1EA1D6D9" w14:textId="6F66DFFD" w:rsidR="006A608B" w:rsidRPr="008119F3" w:rsidRDefault="00F05DF1" w:rsidP="00F05DF1">
      <w:pPr>
        <w:pStyle w:val="ListParagraph"/>
        <w:numPr>
          <w:ilvl w:val="1"/>
          <w:numId w:val="37"/>
        </w:numPr>
        <w:rPr>
          <w:b/>
          <w:bCs/>
          <w:lang w:eastAsia="zh-CN"/>
        </w:rPr>
      </w:pPr>
      <w:r>
        <w:rPr>
          <w:b/>
          <w:bCs/>
          <w:lang w:eastAsia="zh-CN"/>
        </w:rPr>
        <w:t>If a similar UL configuration is needed for Japan, NS_47 may be further needed</w:t>
      </w:r>
    </w:p>
    <w:p w14:paraId="41BC00DF" w14:textId="77777777" w:rsidR="006A608B" w:rsidRPr="008119F3" w:rsidRDefault="006A608B" w:rsidP="006A608B">
      <w:pPr>
        <w:pStyle w:val="ListParagraph"/>
        <w:numPr>
          <w:ilvl w:val="0"/>
          <w:numId w:val="37"/>
        </w:numPr>
        <w:rPr>
          <w:b/>
          <w:bCs/>
          <w:lang w:eastAsia="zh-CN"/>
        </w:rPr>
      </w:pPr>
      <w:r w:rsidRPr="008119F3">
        <w:rPr>
          <w:b/>
          <w:bCs/>
          <w:lang w:eastAsia="zh-CN"/>
        </w:rPr>
        <w:t>The WI objectives are updated to precisely describe the amount of work needed as today’s description is very succinct</w:t>
      </w:r>
      <w:r>
        <w:rPr>
          <w:b/>
          <w:bCs/>
          <w:lang w:eastAsia="zh-CN"/>
        </w:rPr>
        <w:t xml:space="preserve"> and does not represent properly the work involved.</w:t>
      </w:r>
    </w:p>
    <w:p w14:paraId="03D6921F" w14:textId="77777777" w:rsidR="00F10F97" w:rsidRDefault="007321E3" w:rsidP="00C8525F">
      <w:pPr>
        <w:pStyle w:val="Heading1"/>
        <w:numPr>
          <w:ilvl w:val="0"/>
          <w:numId w:val="0"/>
        </w:numPr>
        <w:jc w:val="both"/>
      </w:pPr>
      <w:r>
        <w:t>R</w:t>
      </w:r>
      <w:r w:rsidR="00F10F97">
        <w:t>eferences</w:t>
      </w:r>
    </w:p>
    <w:p w14:paraId="51D940E4" w14:textId="112E643E" w:rsidR="00924BE5" w:rsidRDefault="003F6951" w:rsidP="003F6951">
      <w:pPr>
        <w:pStyle w:val="ListParagraph"/>
        <w:widowControl w:val="0"/>
        <w:numPr>
          <w:ilvl w:val="0"/>
          <w:numId w:val="11"/>
        </w:numPr>
        <w:snapToGrid w:val="0"/>
        <w:spacing w:after="0"/>
      </w:pPr>
      <w:r w:rsidRPr="003F6951">
        <w:t>RP-230479</w:t>
      </w:r>
      <w:r>
        <w:t xml:space="preserve"> </w:t>
      </w:r>
      <w:r w:rsidRPr="003F6951">
        <w:t>WID on High power UE (power class 1.5 or 2) for intra-band Carrier Aggregation combinations of a single NR FR1 TDD band</w:t>
      </w:r>
      <w:r>
        <w:t xml:space="preserve">, </w:t>
      </w:r>
      <w:r w:rsidRPr="003F6951">
        <w:t xml:space="preserve">Huawei, </w:t>
      </w:r>
      <w:proofErr w:type="spellStart"/>
      <w:r w:rsidRPr="003F6951">
        <w:t>HiSilicon</w:t>
      </w:r>
      <w:proofErr w:type="spellEnd"/>
      <w:r>
        <w:t>, RAN#99</w:t>
      </w:r>
    </w:p>
    <w:sectPr w:rsidR="00924BE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9DE8F" w14:textId="77777777" w:rsidR="00711133" w:rsidRDefault="00711133">
      <w:r>
        <w:separator/>
      </w:r>
    </w:p>
  </w:endnote>
  <w:endnote w:type="continuationSeparator" w:id="0">
    <w:p w14:paraId="5DC76700" w14:textId="77777777" w:rsidR="00711133" w:rsidRDefault="0071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A4C0D" w14:textId="77777777" w:rsidR="00711133" w:rsidRDefault="00711133">
      <w:r>
        <w:separator/>
      </w:r>
    </w:p>
  </w:footnote>
  <w:footnote w:type="continuationSeparator" w:id="0">
    <w:p w14:paraId="64F644A1" w14:textId="77777777" w:rsidR="00711133" w:rsidRDefault="00711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C775D8"/>
    <w:multiLevelType w:val="hybridMultilevel"/>
    <w:tmpl w:val="559C9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2F513E0"/>
    <w:multiLevelType w:val="hybridMultilevel"/>
    <w:tmpl w:val="32CA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7"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925AF1"/>
    <w:multiLevelType w:val="hybridMultilevel"/>
    <w:tmpl w:val="1278F878"/>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22"/>
  </w:num>
  <w:num w:numId="4">
    <w:abstractNumId w:val="35"/>
  </w:num>
  <w:num w:numId="5">
    <w:abstractNumId w:val="14"/>
  </w:num>
  <w:num w:numId="6">
    <w:abstractNumId w:val="4"/>
  </w:num>
  <w:num w:numId="7">
    <w:abstractNumId w:val="23"/>
  </w:num>
  <w:num w:numId="8">
    <w:abstractNumId w:val="31"/>
  </w:num>
  <w:num w:numId="9">
    <w:abstractNumId w:val="32"/>
  </w:num>
  <w:num w:numId="10">
    <w:abstractNumId w:val="3"/>
  </w:num>
  <w:num w:numId="11">
    <w:abstractNumId w:val="13"/>
  </w:num>
  <w:num w:numId="12">
    <w:abstractNumId w:val="33"/>
  </w:num>
  <w:num w:numId="13">
    <w:abstractNumId w:val="24"/>
  </w:num>
  <w:num w:numId="14">
    <w:abstractNumId w:val="30"/>
  </w:num>
  <w:num w:numId="15">
    <w:abstractNumId w:val="19"/>
  </w:num>
  <w:num w:numId="16">
    <w:abstractNumId w:val="36"/>
  </w:num>
  <w:num w:numId="17">
    <w:abstractNumId w:val="10"/>
  </w:num>
  <w:num w:numId="18">
    <w:abstractNumId w:val="21"/>
  </w:num>
  <w:num w:numId="19">
    <w:abstractNumId w:val="2"/>
  </w:num>
  <w:num w:numId="20">
    <w:abstractNumId w:val="6"/>
  </w:num>
  <w:num w:numId="21">
    <w:abstractNumId w:val="28"/>
  </w:num>
  <w:num w:numId="22">
    <w:abstractNumId w:val="25"/>
  </w:num>
  <w:num w:numId="23">
    <w:abstractNumId w:val="11"/>
  </w:num>
  <w:num w:numId="24">
    <w:abstractNumId w:val="27"/>
  </w:num>
  <w:num w:numId="25">
    <w:abstractNumId w:val="29"/>
  </w:num>
  <w:num w:numId="26">
    <w:abstractNumId w:val="0"/>
  </w:num>
  <w:num w:numId="27">
    <w:abstractNumId w:val="18"/>
  </w:num>
  <w:num w:numId="28">
    <w:abstractNumId w:val="26"/>
  </w:num>
  <w:num w:numId="29">
    <w:abstractNumId w:val="1"/>
  </w:num>
  <w:num w:numId="30">
    <w:abstractNumId w:val="9"/>
  </w:num>
  <w:num w:numId="31">
    <w:abstractNumId w:val="20"/>
  </w:num>
  <w:num w:numId="32">
    <w:abstractNumId w:val="16"/>
  </w:num>
  <w:num w:numId="33">
    <w:abstractNumId w:val="12"/>
  </w:num>
  <w:num w:numId="34">
    <w:abstractNumId w:val="5"/>
  </w:num>
  <w:num w:numId="35">
    <w:abstractNumId w:val="15"/>
  </w:num>
  <w:num w:numId="36">
    <w:abstractNumId w:val="34"/>
  </w:num>
  <w:num w:numId="3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1F8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C9"/>
    <w:rsid w:val="00031CC0"/>
    <w:rsid w:val="000320DE"/>
    <w:rsid w:val="0003252F"/>
    <w:rsid w:val="00032561"/>
    <w:rsid w:val="000326E2"/>
    <w:rsid w:val="00032833"/>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71D"/>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6FF5"/>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1F03"/>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49A"/>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36B"/>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5FE6"/>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BFF"/>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3D7"/>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1E44"/>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102"/>
    <w:rsid w:val="003A1A83"/>
    <w:rsid w:val="003A1B19"/>
    <w:rsid w:val="003A1B2D"/>
    <w:rsid w:val="003A1F63"/>
    <w:rsid w:val="003A2BD8"/>
    <w:rsid w:val="003A2D10"/>
    <w:rsid w:val="003A330F"/>
    <w:rsid w:val="003A3793"/>
    <w:rsid w:val="003A469E"/>
    <w:rsid w:val="003A471B"/>
    <w:rsid w:val="003A4876"/>
    <w:rsid w:val="003A48D5"/>
    <w:rsid w:val="003A4978"/>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951"/>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DAF"/>
    <w:rsid w:val="00482067"/>
    <w:rsid w:val="00482559"/>
    <w:rsid w:val="0048256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BFB"/>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7D"/>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815"/>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64E"/>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3AB"/>
    <w:rsid w:val="006554D4"/>
    <w:rsid w:val="0065569B"/>
    <w:rsid w:val="00656666"/>
    <w:rsid w:val="0065692A"/>
    <w:rsid w:val="00656B90"/>
    <w:rsid w:val="006570AD"/>
    <w:rsid w:val="006577A6"/>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8B"/>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133"/>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1CF"/>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262"/>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5A39"/>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9F3"/>
    <w:rsid w:val="00811BDE"/>
    <w:rsid w:val="00812152"/>
    <w:rsid w:val="00812340"/>
    <w:rsid w:val="00812818"/>
    <w:rsid w:val="008129D0"/>
    <w:rsid w:val="00812FAB"/>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00"/>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65C"/>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6E27"/>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9AB"/>
    <w:rsid w:val="00922BA8"/>
    <w:rsid w:val="00922BD4"/>
    <w:rsid w:val="00922CFE"/>
    <w:rsid w:val="00922E2F"/>
    <w:rsid w:val="0092342A"/>
    <w:rsid w:val="00923629"/>
    <w:rsid w:val="009236E8"/>
    <w:rsid w:val="009237AF"/>
    <w:rsid w:val="00923D36"/>
    <w:rsid w:val="00924145"/>
    <w:rsid w:val="0092469B"/>
    <w:rsid w:val="00924BE5"/>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3E53"/>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1"/>
    <w:rsid w:val="009A351F"/>
    <w:rsid w:val="009A46F9"/>
    <w:rsid w:val="009A4AAC"/>
    <w:rsid w:val="009A4AB6"/>
    <w:rsid w:val="009A4F96"/>
    <w:rsid w:val="009A5201"/>
    <w:rsid w:val="009A5AC6"/>
    <w:rsid w:val="009A60BB"/>
    <w:rsid w:val="009A6AB4"/>
    <w:rsid w:val="009A6B38"/>
    <w:rsid w:val="009A70B3"/>
    <w:rsid w:val="009A749A"/>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0F6B"/>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D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0B0"/>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DBA"/>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1B7F"/>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A0E"/>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102"/>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3EC9"/>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E21"/>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5A6D"/>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B7DF0"/>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DF1"/>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6E34"/>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280"/>
    <w:rsid w:val="00F843A4"/>
    <w:rsid w:val="00F84708"/>
    <w:rsid w:val="00F847B0"/>
    <w:rsid w:val="00F84A7A"/>
    <w:rsid w:val="00F84A8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28E"/>
    <w:rsid w:val="00FD63F9"/>
    <w:rsid w:val="00FD65C6"/>
    <w:rsid w:val="00FD69E7"/>
    <w:rsid w:val="00FD6C42"/>
    <w:rsid w:val="00FD6FDE"/>
    <w:rsid w:val="00FD71AD"/>
    <w:rsid w:val="00FD72F3"/>
    <w:rsid w:val="00FD760B"/>
    <w:rsid w:val="00FD7F4D"/>
    <w:rsid w:val="00FE06C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uiPriority w:val="99"/>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2993492">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646917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4189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2023-04-10T17:03:00Z</dcterms:created>
  <dcterms:modified xsi:type="dcterms:W3CDTF">2023-04-10T19:58:00Z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